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53A" w:rsidRPr="00DC6C4B" w:rsidRDefault="00C9353A" w:rsidP="00C9353A">
      <w:pPr>
        <w:spacing w:line="360" w:lineRule="auto"/>
        <w:rPr>
          <w:rFonts w:ascii="Times New Roman" w:hAnsi="Times New Roman"/>
          <w:sz w:val="28"/>
          <w:szCs w:val="28"/>
        </w:rPr>
      </w:pPr>
      <w:r w:rsidRPr="00DC6C4B">
        <w:rPr>
          <w:rFonts w:ascii="Times New Roman" w:hAnsi="Times New Roman" w:hint="eastAsia"/>
          <w:b/>
          <w:bCs/>
          <w:sz w:val="28"/>
          <w:szCs w:val="28"/>
        </w:rPr>
        <w:t>F</w:t>
      </w:r>
      <w:r w:rsidRPr="00DC6C4B">
        <w:rPr>
          <w:rFonts w:ascii="Times New Roman" w:hAnsi="Times New Roman"/>
          <w:b/>
          <w:bCs/>
          <w:sz w:val="28"/>
          <w:szCs w:val="28"/>
        </w:rPr>
        <w:t xml:space="preserve">igure </w:t>
      </w:r>
      <w:r w:rsidRPr="00DC6C4B">
        <w:rPr>
          <w:rFonts w:ascii="Times New Roman" w:hAnsi="Times New Roman" w:hint="eastAsia"/>
          <w:b/>
          <w:bCs/>
          <w:sz w:val="28"/>
          <w:szCs w:val="28"/>
        </w:rPr>
        <w:t>S1</w:t>
      </w:r>
      <w:r w:rsidRPr="00DC6C4B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DC6C4B">
        <w:rPr>
          <w:rFonts w:ascii="Times New Roman" w:hAnsi="Times New Roman" w:hint="eastAsia"/>
          <w:sz w:val="28"/>
          <w:szCs w:val="28"/>
        </w:rPr>
        <w:t>Dependence of disease-free survival on hub genes. (A) ITGA3 disease-free survival. (B) RUNX1 disease-free survival. (C) PTPRE disease-free survival. (D) MET disease-free survival. (E) KCNQ3 disease-free survival. (F) TNFRSF10A disease-free survival. (G) MBOAT2 disease-free survival. (H) SHROOM4 disease-free survival.</w:t>
      </w:r>
      <w:r w:rsidRPr="00DC6C4B">
        <w:rPr>
          <w:rFonts w:ascii="Times New Roman" w:hAnsi="Times New Roman"/>
          <w:sz w:val="28"/>
          <w:szCs w:val="28"/>
        </w:rPr>
        <w:t xml:space="preserve"> </w:t>
      </w:r>
      <w:r w:rsidRPr="00DC6C4B">
        <w:rPr>
          <w:rFonts w:ascii="Times New Roman" w:hAnsi="Times New Roman" w:hint="eastAsia"/>
          <w:sz w:val="28"/>
          <w:szCs w:val="28"/>
        </w:rPr>
        <w:t>(I) CDC42BPG disease-free survival. (J) IL1RAP disease-free survival.</w:t>
      </w:r>
    </w:p>
    <w:p w:rsidR="005853CC" w:rsidRDefault="005853CC"/>
    <w:p w:rsidR="00C9353A" w:rsidRPr="00DC6C4B" w:rsidRDefault="00C9353A" w:rsidP="00C9353A">
      <w:pPr>
        <w:spacing w:line="360" w:lineRule="auto"/>
        <w:jc w:val="left"/>
        <w:rPr>
          <w:rFonts w:ascii="Times New Roman" w:eastAsia="SimSun" w:hAnsi="Times New Roman"/>
          <w:kern w:val="0"/>
          <w:sz w:val="28"/>
          <w:szCs w:val="28"/>
        </w:rPr>
      </w:pPr>
      <w:r w:rsidRPr="00DC6C4B">
        <w:rPr>
          <w:rFonts w:ascii="Times New Roman" w:hAnsi="Times New Roman" w:hint="eastAsia"/>
          <w:b/>
          <w:bCs/>
          <w:sz w:val="28"/>
          <w:szCs w:val="28"/>
        </w:rPr>
        <w:t>F</w:t>
      </w:r>
      <w:r w:rsidRPr="00DC6C4B">
        <w:rPr>
          <w:rFonts w:ascii="Times New Roman" w:hAnsi="Times New Roman"/>
          <w:b/>
          <w:bCs/>
          <w:sz w:val="28"/>
          <w:szCs w:val="28"/>
        </w:rPr>
        <w:t xml:space="preserve">igure </w:t>
      </w:r>
      <w:r w:rsidRPr="00DC6C4B">
        <w:rPr>
          <w:rFonts w:ascii="Times New Roman" w:hAnsi="Times New Roman" w:hint="eastAsia"/>
          <w:b/>
          <w:bCs/>
          <w:sz w:val="28"/>
          <w:szCs w:val="28"/>
        </w:rPr>
        <w:t>S2</w:t>
      </w:r>
      <w:r w:rsidRPr="00DC6C4B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DC6C4B">
        <w:rPr>
          <w:rFonts w:ascii="Times New Roman" w:eastAsia="SimSun" w:hAnsi="Times New Roman" w:hint="eastAsia"/>
          <w:kern w:val="0"/>
          <w:sz w:val="28"/>
          <w:szCs w:val="28"/>
        </w:rPr>
        <w:t>ITGA3 is upregulated in multiple cancers</w:t>
      </w:r>
      <w:r w:rsidRPr="00DC6C4B">
        <w:rPr>
          <w:rFonts w:ascii="Times New Roman" w:hAnsi="Times New Roman" w:hint="eastAsia"/>
          <w:kern w:val="0"/>
          <w:sz w:val="28"/>
          <w:szCs w:val="28"/>
        </w:rPr>
        <w:t>.</w:t>
      </w:r>
    </w:p>
    <w:p w:rsidR="00C9353A" w:rsidRPr="00DC6C4B" w:rsidRDefault="00C9353A" w:rsidP="00C9353A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DC6C4B">
        <w:rPr>
          <w:rFonts w:ascii="Times New Roman" w:hAnsi="Times New Roman"/>
          <w:b/>
          <w:bCs/>
          <w:sz w:val="28"/>
          <w:szCs w:val="28"/>
        </w:rPr>
        <w:t xml:space="preserve">Gene set enrichment analysis </w:t>
      </w:r>
    </w:p>
    <w:p w:rsidR="00C9353A" w:rsidRPr="00DC6C4B" w:rsidRDefault="00C9353A" w:rsidP="00C9353A">
      <w:pPr>
        <w:pStyle w:val="ListParagraph"/>
        <w:spacing w:line="360" w:lineRule="auto"/>
        <w:ind w:firstLineChars="0" w:firstLine="0"/>
        <w:rPr>
          <w:rFonts w:ascii="Times New Roman" w:hAnsi="Times New Roman"/>
          <w:sz w:val="28"/>
          <w:szCs w:val="28"/>
        </w:rPr>
      </w:pPr>
      <w:r w:rsidRPr="00DC6C4B">
        <w:rPr>
          <w:rFonts w:ascii="Times New Roman" w:hAnsi="Times New Roman"/>
          <w:sz w:val="28"/>
          <w:szCs w:val="28"/>
        </w:rPr>
        <w:t xml:space="preserve">To explore ITGA3-related signaling pathways, </w:t>
      </w:r>
      <w:bookmarkStart w:id="0" w:name="OLE_LINK14"/>
      <w:r w:rsidRPr="00DC6C4B">
        <w:rPr>
          <w:rFonts w:ascii="Times New Roman" w:hAnsi="Times New Roman"/>
          <w:sz w:val="28"/>
          <w:szCs w:val="28"/>
        </w:rPr>
        <w:t>single-gene gene set enrichment analysis (GSEA)</w:t>
      </w:r>
      <w:bookmarkEnd w:id="0"/>
      <w:r w:rsidRPr="00DC6C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C6C4B">
        <w:rPr>
          <w:rFonts w:ascii="Times New Roman" w:hAnsi="Times New Roman"/>
          <w:sz w:val="28"/>
          <w:szCs w:val="28"/>
        </w:rPr>
        <w:t>was conducted</w:t>
      </w:r>
      <w:proofErr w:type="gramEnd"/>
      <w:r w:rsidRPr="00DC6C4B">
        <w:rPr>
          <w:rFonts w:ascii="Times New Roman" w:hAnsi="Times New Roman"/>
          <w:sz w:val="28"/>
          <w:szCs w:val="28"/>
        </w:rPr>
        <w:t xml:space="preserve">. First, </w:t>
      </w:r>
      <w:r w:rsidRPr="00DC6C4B">
        <w:rPr>
          <w:rFonts w:ascii="Times New Roman" w:hAnsi="Times New Roman" w:hint="eastAsia"/>
          <w:sz w:val="28"/>
          <w:szCs w:val="28"/>
        </w:rPr>
        <w:t>thyroid cancer</w:t>
      </w:r>
      <w:r w:rsidRPr="00DC6C4B">
        <w:rPr>
          <w:rFonts w:ascii="Times New Roman" w:hAnsi="Times New Roman"/>
          <w:sz w:val="28"/>
          <w:szCs w:val="28"/>
        </w:rPr>
        <w:t xml:space="preserve"> patients </w:t>
      </w:r>
      <w:proofErr w:type="gramStart"/>
      <w:r w:rsidRPr="00DC6C4B">
        <w:rPr>
          <w:rFonts w:ascii="Times New Roman" w:hAnsi="Times New Roman"/>
          <w:sz w:val="28"/>
          <w:szCs w:val="28"/>
        </w:rPr>
        <w:t>were classified</w:t>
      </w:r>
      <w:proofErr w:type="gramEnd"/>
      <w:r w:rsidRPr="00DC6C4B">
        <w:rPr>
          <w:rFonts w:ascii="Times New Roman" w:hAnsi="Times New Roman"/>
          <w:sz w:val="28"/>
          <w:szCs w:val="28"/>
        </w:rPr>
        <w:t xml:space="preserve"> into high- and low-ITGA3 groups by the median mRNA </w:t>
      </w:r>
      <w:r w:rsidRPr="00DC6C4B">
        <w:rPr>
          <w:rFonts w:ascii="Times New Roman" w:hAnsi="Times New Roman" w:hint="eastAsia"/>
          <w:sz w:val="28"/>
          <w:szCs w:val="28"/>
        </w:rPr>
        <w:t xml:space="preserve">level </w:t>
      </w:r>
      <w:r w:rsidRPr="00DC6C4B">
        <w:rPr>
          <w:rFonts w:ascii="Times New Roman" w:hAnsi="Times New Roman"/>
          <w:sz w:val="28"/>
          <w:szCs w:val="28"/>
        </w:rPr>
        <w:t>of ITGA3 in the TCGA</w:t>
      </w:r>
      <w:r w:rsidRPr="00DC6C4B">
        <w:rPr>
          <w:rFonts w:ascii="Times New Roman" w:hAnsi="Times New Roman" w:hint="eastAsia"/>
          <w:sz w:val="28"/>
          <w:szCs w:val="28"/>
        </w:rPr>
        <w:t xml:space="preserve"> </w:t>
      </w:r>
      <w:r w:rsidRPr="00DC6C4B">
        <w:rPr>
          <w:rFonts w:ascii="Times New Roman" w:hAnsi="Times New Roman"/>
          <w:sz w:val="28"/>
          <w:szCs w:val="28"/>
        </w:rPr>
        <w:t xml:space="preserve">THCA dataset. GSEA version 4.0.2 </w:t>
      </w:r>
      <w:proofErr w:type="gramStart"/>
      <w:r w:rsidRPr="00DC6C4B">
        <w:rPr>
          <w:rFonts w:ascii="Times New Roman" w:hAnsi="Times New Roman"/>
          <w:sz w:val="28"/>
          <w:szCs w:val="28"/>
        </w:rPr>
        <w:t>was used</w:t>
      </w:r>
      <w:proofErr w:type="gramEnd"/>
      <w:r w:rsidRPr="00DC6C4B">
        <w:rPr>
          <w:rFonts w:ascii="Times New Roman" w:hAnsi="Times New Roman"/>
          <w:sz w:val="28"/>
          <w:szCs w:val="28"/>
        </w:rPr>
        <w:t xml:space="preserve"> to identify the significantly enriched gene sets. </w:t>
      </w:r>
      <w:r w:rsidRPr="0088359C">
        <w:rPr>
          <w:rFonts w:ascii="Times New Roman" w:hAnsi="Times New Roman"/>
          <w:i/>
          <w:iCs/>
          <w:sz w:val="28"/>
          <w:szCs w:val="28"/>
        </w:rPr>
        <w:t>P</w:t>
      </w:r>
      <w:r>
        <w:rPr>
          <w:rFonts w:ascii="Times New Roman" w:hAnsi="Times New Roman" w:hint="eastAsia"/>
          <w:i/>
          <w:iCs/>
          <w:sz w:val="28"/>
          <w:szCs w:val="28"/>
        </w:rPr>
        <w:t xml:space="preserve"> </w:t>
      </w:r>
      <w:r w:rsidRPr="00DC6C4B">
        <w:rPr>
          <w:rFonts w:ascii="Times New Roman" w:hAnsi="Times New Roman"/>
          <w:sz w:val="28"/>
          <w:szCs w:val="28"/>
        </w:rPr>
        <w:t>&lt;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DC6C4B">
        <w:rPr>
          <w:rFonts w:ascii="Times New Roman" w:hAnsi="Times New Roman"/>
          <w:sz w:val="28"/>
          <w:szCs w:val="28"/>
        </w:rPr>
        <w:t>0.01 and a false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6C4B">
        <w:rPr>
          <w:rFonts w:ascii="Times New Roman" w:hAnsi="Times New Roman"/>
          <w:sz w:val="28"/>
          <w:szCs w:val="28"/>
        </w:rPr>
        <w:t xml:space="preserve">discovery rate (FDR) &lt;25% were considered statistically significant. </w:t>
      </w:r>
      <w:r w:rsidRPr="00DC6C4B">
        <w:rPr>
          <w:rFonts w:ascii="Times New Roman" w:hAnsi="Times New Roman" w:cs="Times New Roman"/>
          <w:sz w:val="28"/>
          <w:szCs w:val="28"/>
        </w:rPr>
        <w:t xml:space="preserve">The GSEA results showed 131 gene sets </w:t>
      </w:r>
      <w:proofErr w:type="gramStart"/>
      <w:r w:rsidRPr="00DC6C4B">
        <w:rPr>
          <w:rFonts w:ascii="Times New Roman" w:hAnsi="Times New Roman" w:cs="Times New Roman" w:hint="eastAsia"/>
          <w:sz w:val="28"/>
          <w:szCs w:val="28"/>
        </w:rPr>
        <w:t>were</w:t>
      </w:r>
      <w:r w:rsidRPr="00DC6C4B">
        <w:rPr>
          <w:rFonts w:ascii="Times New Roman" w:hAnsi="Times New Roman" w:cs="Times New Roman"/>
          <w:sz w:val="28"/>
          <w:szCs w:val="28"/>
        </w:rPr>
        <w:t xml:space="preserve"> significantly enriched</w:t>
      </w:r>
      <w:proofErr w:type="gramEnd"/>
      <w:r w:rsidRPr="00DC6C4B">
        <w:rPr>
          <w:rFonts w:ascii="Times New Roman" w:hAnsi="Times New Roman" w:cs="Times New Roman"/>
          <w:sz w:val="28"/>
          <w:szCs w:val="28"/>
        </w:rPr>
        <w:t xml:space="preserve"> in </w:t>
      </w:r>
      <w:r w:rsidRPr="00DC6C4B">
        <w:rPr>
          <w:rFonts w:ascii="Times New Roman" w:hAnsi="Times New Roman" w:cs="Times New Roman" w:hint="eastAsia"/>
          <w:sz w:val="28"/>
          <w:szCs w:val="28"/>
        </w:rPr>
        <w:t xml:space="preserve">the </w:t>
      </w:r>
      <w:r w:rsidRPr="00DC6C4B">
        <w:rPr>
          <w:rFonts w:ascii="Times New Roman" w:hAnsi="Times New Roman" w:cs="Times New Roman"/>
          <w:sz w:val="28"/>
          <w:szCs w:val="28"/>
        </w:rPr>
        <w:t xml:space="preserve">ITGA3 high-expression cluster. The top 30 enriched gene sets are shown in Table S3, and most of them were strongly correlated with metastasis, including endocytosis (FDR = 0.001), </w:t>
      </w:r>
      <w:proofErr w:type="spellStart"/>
      <w:r w:rsidRPr="00DC6C4B">
        <w:rPr>
          <w:rFonts w:ascii="Times New Roman" w:hAnsi="Times New Roman" w:cs="Times New Roman"/>
          <w:sz w:val="28"/>
          <w:szCs w:val="28"/>
        </w:rPr>
        <w:t>adherens</w:t>
      </w:r>
      <w:proofErr w:type="spellEnd"/>
      <w:r w:rsidRPr="00DC6C4B">
        <w:rPr>
          <w:rFonts w:ascii="Times New Roman" w:hAnsi="Times New Roman" w:cs="Times New Roman"/>
          <w:sz w:val="28"/>
          <w:szCs w:val="28"/>
        </w:rPr>
        <w:t xml:space="preserve"> junction (FDR = 0.003), pathway in cancer (FDR = 0.004), epithelial cell signaling in helicobacter pylori infection (FDR = 0.006), cytokine receptor interaction (FDR = 0.006) and focal adhesion (FDR = 0.006). </w:t>
      </w:r>
      <w:r w:rsidRPr="00DC6C4B">
        <w:rPr>
          <w:rFonts w:ascii="Times New Roman" w:hAnsi="Times New Roman"/>
          <w:sz w:val="28"/>
          <w:szCs w:val="28"/>
        </w:rPr>
        <w:t>Among the</w:t>
      </w:r>
      <w:r w:rsidRPr="00DC6C4B">
        <w:rPr>
          <w:rFonts w:ascii="Times New Roman" w:hAnsi="Times New Roman" w:hint="eastAsia"/>
          <w:sz w:val="28"/>
          <w:szCs w:val="28"/>
        </w:rPr>
        <w:t>m</w:t>
      </w:r>
      <w:r w:rsidRPr="00DC6C4B">
        <w:rPr>
          <w:rFonts w:ascii="Times New Roman" w:hAnsi="Times New Roman"/>
          <w:sz w:val="28"/>
          <w:szCs w:val="28"/>
        </w:rPr>
        <w:t xml:space="preserve">, the MET oncogene ranked first in the key gene lists of these four pathways </w:t>
      </w:r>
      <w:r w:rsidRPr="00DC6C4B">
        <w:rPr>
          <w:rFonts w:ascii="Times New Roman" w:hAnsi="Times New Roman" w:cs="Times New Roman"/>
          <w:sz w:val="28"/>
          <w:szCs w:val="28"/>
        </w:rPr>
        <w:t>(Figure S3)</w:t>
      </w:r>
      <w:r w:rsidRPr="00DC6C4B">
        <w:rPr>
          <w:rFonts w:ascii="Times New Roman" w:hAnsi="Times New Roman"/>
          <w:sz w:val="28"/>
          <w:szCs w:val="28"/>
        </w:rPr>
        <w:t xml:space="preserve">. </w:t>
      </w:r>
    </w:p>
    <w:p w:rsidR="00C9353A" w:rsidRDefault="00C9353A" w:rsidP="00C9353A">
      <w:pPr>
        <w:rPr>
          <w:rFonts w:ascii="Times New Roman" w:hAnsi="Times New Roman"/>
          <w:sz w:val="28"/>
          <w:szCs w:val="28"/>
        </w:rPr>
      </w:pPr>
    </w:p>
    <w:p w:rsidR="00C9353A" w:rsidRPr="00C9353A" w:rsidRDefault="00C9353A" w:rsidP="00C9353A">
      <w:pPr>
        <w:spacing w:line="360" w:lineRule="auto"/>
        <w:jc w:val="left"/>
        <w:rPr>
          <w:rFonts w:ascii="Times New Roman" w:eastAsia="SimSun" w:hAnsi="Times New Roman" w:cs="Times New Roman"/>
          <w:b/>
          <w:bCs/>
          <w:kern w:val="0"/>
          <w:sz w:val="28"/>
          <w:szCs w:val="28"/>
        </w:rPr>
      </w:pPr>
      <w:r w:rsidRPr="00DC6C4B">
        <w:rPr>
          <w:rFonts w:ascii="Times New Roman" w:hAnsi="Times New Roman" w:hint="eastAsia"/>
          <w:b/>
          <w:bCs/>
          <w:sz w:val="28"/>
          <w:szCs w:val="28"/>
        </w:rPr>
        <w:t>F</w:t>
      </w:r>
      <w:r w:rsidRPr="00DC6C4B">
        <w:rPr>
          <w:rFonts w:ascii="Times New Roman" w:hAnsi="Times New Roman"/>
          <w:b/>
          <w:bCs/>
          <w:sz w:val="28"/>
          <w:szCs w:val="28"/>
        </w:rPr>
        <w:t xml:space="preserve">igure </w:t>
      </w:r>
      <w:r w:rsidRPr="00DC6C4B">
        <w:rPr>
          <w:rFonts w:ascii="Times New Roman" w:hAnsi="Times New Roman" w:hint="eastAsia"/>
          <w:b/>
          <w:bCs/>
          <w:sz w:val="28"/>
          <w:szCs w:val="28"/>
        </w:rPr>
        <w:t>S3</w:t>
      </w:r>
      <w:r w:rsidRPr="00DC6C4B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DC6C4B">
        <w:rPr>
          <w:rFonts w:ascii="Times New Roman" w:eastAsia="SimSun" w:hAnsi="Times New Roman" w:hint="eastAsia"/>
          <w:b/>
          <w:bCs/>
          <w:kern w:val="0"/>
          <w:sz w:val="28"/>
          <w:szCs w:val="28"/>
        </w:rPr>
        <w:t>GSEA analysis of KEGG pathways based on ITGA3 expression in</w:t>
      </w:r>
      <w:r w:rsidRPr="00DC6C4B">
        <w:rPr>
          <w:rFonts w:ascii="Times New Roman" w:hAnsi="Times New Roman" w:hint="eastAsia"/>
          <w:b/>
          <w:bCs/>
          <w:kern w:val="0"/>
          <w:sz w:val="28"/>
          <w:szCs w:val="28"/>
        </w:rPr>
        <w:t xml:space="preserve"> thyroid cancer patients</w:t>
      </w:r>
      <w:r w:rsidRPr="00DC6C4B">
        <w:rPr>
          <w:rFonts w:ascii="Times New Roman" w:eastAsia="SimSun" w:hAnsi="Times New Roman" w:hint="eastAsia"/>
          <w:b/>
          <w:bCs/>
          <w:kern w:val="0"/>
          <w:sz w:val="28"/>
          <w:szCs w:val="28"/>
        </w:rPr>
        <w:t xml:space="preserve">. </w:t>
      </w:r>
      <w:r w:rsidRPr="00DC6C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6C4B">
        <w:rPr>
          <w:rFonts w:ascii="Times New Roman" w:hAnsi="Times New Roman" w:cs="Times New Roman"/>
          <w:sz w:val="28"/>
          <w:szCs w:val="28"/>
        </w:rPr>
        <w:t>(A</w:t>
      </w:r>
      <w:r w:rsidRPr="00DC6C4B">
        <w:rPr>
          <w:rFonts w:ascii="Times New Roman" w:hAnsi="Times New Roman" w:cs="Times New Roman" w:hint="eastAsia"/>
          <w:sz w:val="28"/>
          <w:szCs w:val="28"/>
        </w:rPr>
        <w:t>)</w:t>
      </w:r>
      <w:r w:rsidRPr="00DC6C4B">
        <w:rPr>
          <w:rFonts w:ascii="Times New Roman" w:hAnsi="Times New Roman" w:cs="Times New Roman"/>
          <w:sz w:val="28"/>
          <w:szCs w:val="28"/>
        </w:rPr>
        <w:t xml:space="preserve"> </w:t>
      </w:r>
      <w:r w:rsidRPr="00DC6C4B">
        <w:rPr>
          <w:rFonts w:ascii="Times New Roman" w:hAnsi="Times New Roman" w:cs="Times New Roman" w:hint="eastAsia"/>
          <w:sz w:val="28"/>
          <w:szCs w:val="28"/>
        </w:rPr>
        <w:t xml:space="preserve">Endocytosis. (B) </w:t>
      </w:r>
      <w:proofErr w:type="spellStart"/>
      <w:r w:rsidRPr="00DC6C4B">
        <w:rPr>
          <w:rFonts w:ascii="Times New Roman" w:hAnsi="Times New Roman" w:cs="Times New Roman" w:hint="eastAsia"/>
          <w:sz w:val="28"/>
          <w:szCs w:val="28"/>
        </w:rPr>
        <w:t>Adherens</w:t>
      </w:r>
      <w:proofErr w:type="spellEnd"/>
      <w:r w:rsidRPr="00DC6C4B">
        <w:rPr>
          <w:rFonts w:ascii="Times New Roman" w:hAnsi="Times New Roman" w:cs="Times New Roman" w:hint="eastAsia"/>
          <w:sz w:val="28"/>
          <w:szCs w:val="28"/>
        </w:rPr>
        <w:t xml:space="preserve"> junction. (C) Pathway in cancer. (D) Epithelial cell signaling in helicobacter pylori infection. (E) Cytokine receptor interaction. (F) Focal adhesion.</w:t>
      </w:r>
      <w:bookmarkStart w:id="1" w:name="_GoBack"/>
      <w:bookmarkEnd w:id="1"/>
    </w:p>
    <w:sectPr w:rsidR="00C9353A" w:rsidRPr="00C935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EB3"/>
    <w:rsid w:val="005853CC"/>
    <w:rsid w:val="00A73EB3"/>
    <w:rsid w:val="00C9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7AB25"/>
  <w15:chartTrackingRefBased/>
  <w15:docId w15:val="{41A9DFF0-51F5-4C81-998D-6F5D594B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3A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C935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CatherinShelin A</dc:creator>
  <cp:keywords/>
  <dc:description/>
  <cp:lastModifiedBy>CatherinShelin A</cp:lastModifiedBy>
  <cp:revision>2</cp:revision>
  <dcterms:created xsi:type="dcterms:W3CDTF">2025-03-25T05:55:00Z</dcterms:created>
  <dcterms:modified xsi:type="dcterms:W3CDTF">2025-03-25T05:57:00Z</dcterms:modified>
</cp:coreProperties>
</file>